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D4527F" w:rsidRDefault="006F3348" w:rsidP="006F33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27F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>»   __________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D4527F">
        <w:rPr>
          <w:rFonts w:ascii="Times New Roman" w:hAnsi="Times New Roman" w:cs="Times New Roman"/>
          <w:sz w:val="28"/>
          <w:szCs w:val="28"/>
        </w:rPr>
        <w:t xml:space="preserve">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D452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</w:t>
      </w:r>
      <w:r w:rsidR="00D4527F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4527F">
        <w:rPr>
          <w:rFonts w:ascii="Times New Roman" w:hAnsi="Times New Roman" w:cs="Times New Roman"/>
          <w:b/>
          <w:sz w:val="28"/>
          <w:szCs w:val="28"/>
        </w:rPr>
        <w:t>Сергиевск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D4527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4527F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8358D" w:rsidRPr="006F3348" w:rsidRDefault="0008358D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4527F" w:rsidRDefault="006F3348" w:rsidP="00D45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4527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4527F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proofErr w:type="gramEnd"/>
    </w:p>
    <w:p w:rsidR="00D4527F" w:rsidRDefault="00D4527F" w:rsidP="00D4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27F" w:rsidRDefault="00D4527F" w:rsidP="00D4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D45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D4527F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D4527F">
      <w:pPr>
        <w:jc w:val="both"/>
        <w:rPr>
          <w:sz w:val="28"/>
          <w:szCs w:val="28"/>
        </w:rPr>
      </w:pPr>
    </w:p>
    <w:p w:rsidR="006F3348" w:rsidRPr="00D4527F" w:rsidRDefault="006F3348" w:rsidP="00D4527F">
      <w:pPr>
        <w:jc w:val="both"/>
        <w:rPr>
          <w:rFonts w:ascii="Times New Roman" w:hAnsi="Times New Roman" w:cs="Times New Roman"/>
          <w:sz w:val="28"/>
          <w:szCs w:val="28"/>
        </w:rPr>
      </w:pPr>
      <w:r w:rsidRPr="00D4527F">
        <w:rPr>
          <w:rFonts w:ascii="Times New Roman" w:hAnsi="Times New Roman" w:cs="Times New Roman"/>
          <w:sz w:val="28"/>
          <w:szCs w:val="28"/>
        </w:rPr>
        <w:t>Р</w:t>
      </w:r>
      <w:r w:rsidR="0037681A" w:rsidRPr="00D4527F">
        <w:rPr>
          <w:rFonts w:ascii="Times New Roman" w:hAnsi="Times New Roman" w:cs="Times New Roman"/>
          <w:sz w:val="28"/>
          <w:szCs w:val="28"/>
        </w:rPr>
        <w:t>ЕШИЛО</w:t>
      </w:r>
      <w:r w:rsidRPr="00D4527F">
        <w:rPr>
          <w:rFonts w:ascii="Times New Roman" w:hAnsi="Times New Roman" w:cs="Times New Roman"/>
          <w:sz w:val="28"/>
          <w:szCs w:val="28"/>
        </w:rPr>
        <w:t>:</w:t>
      </w:r>
    </w:p>
    <w:p w:rsidR="0037681A" w:rsidRDefault="006F3348" w:rsidP="00D452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D4527F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  <w:r w:rsidR="00D4527F" w:rsidRPr="0037681A">
        <w:rPr>
          <w:rFonts w:ascii="Times New Roman" w:hAnsi="Times New Roman" w:cs="Times New Roman"/>
          <w:sz w:val="28"/>
          <w:szCs w:val="28"/>
        </w:rPr>
        <w:t xml:space="preserve"> 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«Об утверждении правил благоустройства территории </w:t>
      </w:r>
      <w:r w:rsidR="00D4527F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0835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0835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08358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D4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D4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D4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D4527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D4527F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D4527F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D4527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D4527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864FE">
        <w:rPr>
          <w:rFonts w:asciiTheme="majorBidi" w:hAnsiTheme="majorBidi" w:cstheme="majorBidi"/>
          <w:sz w:val="28"/>
          <w:szCs w:val="28"/>
        </w:rPr>
        <w:t xml:space="preserve"> проведения</w:t>
      </w:r>
      <w:r w:rsidR="00C864FE" w:rsidRPr="004238A4">
        <w:rPr>
          <w:rFonts w:asciiTheme="majorBidi" w:hAnsiTheme="majorBidi" w:cstheme="majorBidi"/>
          <w:sz w:val="28"/>
          <w:szCs w:val="28"/>
        </w:rPr>
        <w:t xml:space="preserve">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083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D4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D4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D4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</w:t>
      </w:r>
      <w:r>
        <w:rPr>
          <w:rFonts w:ascii="Times New Roman" w:hAnsi="Times New Roman" w:cs="Times New Roman"/>
          <w:sz w:val="28"/>
          <w:szCs w:val="28"/>
        </w:rPr>
        <w:lastRenderedPageBreak/>
        <w:t>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D4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08358D" w:rsidP="00D4527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388"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="0087342F" w:rsidRPr="0087342F"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3164DF" w:rsidRDefault="0048020C" w:rsidP="000835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D452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0835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0835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08358D">
      <w:pPr>
        <w:spacing w:after="0" w:line="240" w:lineRule="auto"/>
        <w:ind w:right="8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08358D">
      <w:pPr>
        <w:spacing w:after="0" w:line="240" w:lineRule="auto"/>
        <w:ind w:right="8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2B6665" w:rsidRPr="002603BB" w:rsidRDefault="002B6665" w:rsidP="0008358D">
      <w:pPr>
        <w:spacing w:after="0" w:line="240" w:lineRule="auto"/>
        <w:ind w:right="8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08358D">
      <w:pPr>
        <w:spacing w:after="0" w:line="240" w:lineRule="auto"/>
        <w:ind w:right="8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B6665" w:rsidRPr="002603BB" w:rsidRDefault="002B6665" w:rsidP="0008358D">
      <w:pPr>
        <w:spacing w:after="0" w:line="240" w:lineRule="auto"/>
        <w:ind w:right="8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</w:t>
      </w:r>
      <w:r w:rsidRPr="002603BB">
        <w:rPr>
          <w:rFonts w:ascii="Times New Roman" w:eastAsia="Times New Roman" w:hAnsi="Times New Roman"/>
          <w:sz w:val="28"/>
          <w:szCs w:val="28"/>
        </w:rPr>
        <w:t>) задание на выполнение инженерных изысканий (в случае проведения инженерно-геологических изысканий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.</w:t>
      </w:r>
    </w:p>
    <w:p w:rsidR="0048020C" w:rsidRPr="00033339" w:rsidRDefault="005F5B9B" w:rsidP="00D4527F">
      <w:pPr>
        <w:shd w:val="clear" w:color="auto" w:fill="FFFFFF" w:themeFill="background1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08358D" w:rsidP="00D4527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48020C"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="0048020C"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08358D" w:rsidP="00D4527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D4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D45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D452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08358D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ых в соответствии с</w:t>
      </w:r>
      <w:proofErr w:type="gramEnd"/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08358D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D4527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D4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D4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D4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D452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D452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D452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D452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08358D" w:rsidP="00D4527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4DF">
        <w:rPr>
          <w:rFonts w:ascii="Times New Roman" w:hAnsi="Times New Roman" w:cs="Times New Roman"/>
          <w:sz w:val="28"/>
          <w:szCs w:val="28"/>
        </w:rPr>
        <w:t xml:space="preserve">17.11.6. </w:t>
      </w:r>
      <w:r w:rsidR="003164DF"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 w:rsidR="003164D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164DF"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 w:rsidR="003164DF">
        <w:rPr>
          <w:rFonts w:ascii="Times New Roman" w:hAnsi="Times New Roman" w:cs="Times New Roman"/>
          <w:sz w:val="28"/>
          <w:szCs w:val="28"/>
        </w:rPr>
        <w:t xml:space="preserve">. </w:t>
      </w:r>
      <w:r w:rsidR="003164DF"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D4527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08358D" w:rsidP="00D4527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4DF">
        <w:rPr>
          <w:rFonts w:ascii="Times New Roman" w:hAnsi="Times New Roman" w:cs="Times New Roman"/>
          <w:sz w:val="28"/>
          <w:szCs w:val="28"/>
        </w:rPr>
        <w:t xml:space="preserve">17.11.7. </w:t>
      </w:r>
      <w:r w:rsidR="003164DF"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 w:rsidR="003164DF">
        <w:rPr>
          <w:rFonts w:ascii="Times New Roman" w:hAnsi="Times New Roman" w:cs="Times New Roman"/>
          <w:sz w:val="28"/>
          <w:szCs w:val="28"/>
        </w:rPr>
        <w:t>.</w:t>
      </w:r>
      <w:r w:rsidR="003164DF"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3210" w:rsidRPr="0097667B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D4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через средства массовой информации, в том числе в сети "</w:t>
      </w:r>
      <w:bookmarkStart w:id="0" w:name="_GoBack"/>
      <w:bookmarkEnd w:id="0"/>
      <w:r w:rsidRPr="0097667B">
        <w:rPr>
          <w:rFonts w:ascii="Times New Roman" w:hAnsi="Times New Roman" w:cs="Times New Roman"/>
          <w:sz w:val="28"/>
          <w:szCs w:val="28"/>
        </w:rPr>
        <w:t>Интернет", о сроках закрытия маршрута и изменения схемы движения;</w:t>
      </w:r>
    </w:p>
    <w:p w:rsidR="00F53210" w:rsidRPr="0097667B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0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61980" w:rsidRDefault="0037681A" w:rsidP="00D45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D452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D45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27F" w:rsidRDefault="00D4527F" w:rsidP="00D45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D452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4527F" w:rsidRDefault="00D4527F" w:rsidP="00D4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27F" w:rsidRDefault="006F3348" w:rsidP="00D4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D4527F" w:rsidP="00D4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Т.Н.Глушкова</w:t>
      </w:r>
    </w:p>
    <w:p w:rsidR="00D4527F" w:rsidRPr="006F3348" w:rsidRDefault="00D4527F" w:rsidP="00D4527F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D45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Глава</w:t>
      </w:r>
      <w:r w:rsidR="00D4527F" w:rsidRPr="00D4527F">
        <w:rPr>
          <w:rFonts w:ascii="Times New Roman" w:hAnsi="Times New Roman" w:cs="Times New Roman"/>
          <w:sz w:val="28"/>
          <w:szCs w:val="28"/>
        </w:rPr>
        <w:t xml:space="preserve"> </w:t>
      </w:r>
      <w:r w:rsidR="00D4527F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</w:p>
    <w:p w:rsidR="00D4527F" w:rsidRDefault="006F3348" w:rsidP="00D4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34712" w:rsidRDefault="00D4527F" w:rsidP="00D45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sectPr w:rsidR="00E34712" w:rsidSect="00D4527F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358D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0A19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00401"/>
    <w:rsid w:val="0041072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F1EF2"/>
    <w:rsid w:val="00CF4596"/>
    <w:rsid w:val="00D0554E"/>
    <w:rsid w:val="00D4527F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FCF6-F548-4287-B49E-4009892E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14</cp:revision>
  <cp:lastPrinted>2023-08-14T11:08:00Z</cp:lastPrinted>
  <dcterms:created xsi:type="dcterms:W3CDTF">2023-08-07T13:10:00Z</dcterms:created>
  <dcterms:modified xsi:type="dcterms:W3CDTF">2023-09-22T10:53:00Z</dcterms:modified>
</cp:coreProperties>
</file>